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5CD1A9AD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CA6BDF">
        <w:rPr>
          <w:rFonts w:ascii="Arial" w:hAnsi="Arial" w:cs="Arial"/>
          <w:b/>
          <w:sz w:val="24"/>
          <w:szCs w:val="24"/>
        </w:rPr>
        <w:t>4</w:t>
      </w:r>
      <w:r w:rsidR="0074443A">
        <w:rPr>
          <w:rFonts w:ascii="Arial" w:hAnsi="Arial" w:cs="Arial"/>
          <w:b/>
          <w:sz w:val="24"/>
          <w:szCs w:val="24"/>
        </w:rPr>
        <w:t>b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R1-1</w:t>
      </w:r>
      <w:r w:rsidR="00CA6BDF">
        <w:rPr>
          <w:rFonts w:ascii="Arial" w:hAnsi="Arial" w:cs="Arial"/>
          <w:b/>
          <w:sz w:val="24"/>
          <w:szCs w:val="24"/>
        </w:rPr>
        <w:t>6</w:t>
      </w:r>
      <w:r w:rsidR="00FF3C0B">
        <w:rPr>
          <w:rFonts w:ascii="Arial" w:hAnsi="Arial" w:cs="Arial"/>
          <w:b/>
          <w:sz w:val="24"/>
          <w:szCs w:val="24"/>
        </w:rPr>
        <w:t>22</w:t>
      </w:r>
      <w:r w:rsidR="005C4B85">
        <w:rPr>
          <w:rFonts w:ascii="Arial" w:hAnsi="Arial" w:cs="Arial"/>
          <w:b/>
          <w:sz w:val="24"/>
          <w:szCs w:val="24"/>
        </w:rPr>
        <w:t>14</w:t>
      </w:r>
    </w:p>
    <w:p w14:paraId="43B7F879" w14:textId="77777777" w:rsidR="00D1303E" w:rsidRPr="00FD021C" w:rsidRDefault="0074443A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1303E">
        <w:rPr>
          <w:rFonts w:ascii="Arial" w:hAnsi="Arial" w:cs="Arial"/>
          <w:b/>
          <w:sz w:val="24"/>
          <w:szCs w:val="24"/>
        </w:rPr>
        <w:t>1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 w:rsidR="00CA6BDF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April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43B7F87A" w14:textId="77777777" w:rsidR="00D1303E" w:rsidRPr="00FD021C" w:rsidRDefault="0074443A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Korea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541AFA02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B0D49">
        <w:rPr>
          <w:rFonts w:ascii="Arial" w:hAnsi="Arial"/>
          <w:sz w:val="24"/>
        </w:rPr>
        <w:t>8.1.6.1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bookmarkStart w:id="1" w:name="_GoBack"/>
      <w:bookmarkEnd w:id="1"/>
    </w:p>
    <w:p w14:paraId="43B7F87E" w14:textId="5707985E" w:rsidR="00C10599" w:rsidRPr="00BB0404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86468">
        <w:rPr>
          <w:rFonts w:ascii="Arial" w:hAnsi="Arial"/>
          <w:sz w:val="24"/>
        </w:rPr>
        <w:t>TBCC – Throughput, latency, block size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43B7F881" w14:textId="77777777" w:rsidR="00566C25" w:rsidRDefault="004503F9" w:rsidP="004503F9">
      <w:pPr>
        <w:jc w:val="both"/>
        <w:rPr>
          <w:szCs w:val="22"/>
        </w:rPr>
      </w:pPr>
      <w:r w:rsidRPr="00300CDD">
        <w:rPr>
          <w:szCs w:val="22"/>
        </w:rPr>
        <w:t>In RAN#</w:t>
      </w:r>
      <w:r>
        <w:rPr>
          <w:szCs w:val="22"/>
        </w:rPr>
        <w:t>71</w:t>
      </w:r>
      <w:r w:rsidRPr="00300CDD">
        <w:rPr>
          <w:szCs w:val="22"/>
        </w:rPr>
        <w:t xml:space="preserve">, </w:t>
      </w:r>
      <w:r>
        <w:rPr>
          <w:szCs w:val="22"/>
        </w:rPr>
        <w:t xml:space="preserve">the technology study item for 5G new RAT </w:t>
      </w:r>
      <w:r w:rsidR="00566C25">
        <w:rPr>
          <w:szCs w:val="22"/>
        </w:rPr>
        <w:t xml:space="preserve">(NR) </w:t>
      </w:r>
      <w:r>
        <w:rPr>
          <w:szCs w:val="22"/>
        </w:rPr>
        <w:t xml:space="preserve">has been approved [1]. For the New Radio Access Technology (NR), there is potential to improve the channel coding across performance and computational complexity while efficiently addressing both </w:t>
      </w:r>
      <w:proofErr w:type="spellStart"/>
      <w:r>
        <w:rPr>
          <w:szCs w:val="22"/>
        </w:rPr>
        <w:t>blocklength</w:t>
      </w:r>
      <w:proofErr w:type="spellEnd"/>
      <w:r>
        <w:rPr>
          <w:szCs w:val="22"/>
        </w:rPr>
        <w:t xml:space="preserve"> scaling and </w:t>
      </w:r>
      <w:r w:rsidR="00566C25">
        <w:rPr>
          <w:szCs w:val="22"/>
        </w:rPr>
        <w:t xml:space="preserve">rate compatibility, including </w:t>
      </w:r>
      <w:r>
        <w:rPr>
          <w:szCs w:val="22"/>
        </w:rPr>
        <w:t>incremental redundancy (IR) HARQ.</w:t>
      </w:r>
    </w:p>
    <w:p w14:paraId="43B7F882" w14:textId="108FCD29" w:rsidR="004503F9" w:rsidRDefault="002247F6" w:rsidP="004503F9">
      <w:pPr>
        <w:jc w:val="both"/>
        <w:rPr>
          <w:szCs w:val="22"/>
        </w:rPr>
      </w:pPr>
      <w:r>
        <w:rPr>
          <w:szCs w:val="22"/>
        </w:rPr>
        <w:t xml:space="preserve">Here we </w:t>
      </w:r>
      <w:r w:rsidR="00CB0D49">
        <w:rPr>
          <w:szCs w:val="22"/>
        </w:rPr>
        <w:t>discuss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tailbiting</w:t>
      </w:r>
      <w:proofErr w:type="spellEnd"/>
      <w:r>
        <w:rPr>
          <w:szCs w:val="22"/>
        </w:rPr>
        <w:t xml:space="preserve"> convolutional codes from </w:t>
      </w:r>
      <w:r w:rsidR="005769C2">
        <w:rPr>
          <w:szCs w:val="22"/>
        </w:rPr>
        <w:fldChar w:fldCharType="begin"/>
      </w:r>
      <w:r w:rsidR="005769C2">
        <w:rPr>
          <w:szCs w:val="22"/>
        </w:rPr>
        <w:instrText xml:space="preserve"> REF _Ref447261428 \r \h </w:instrText>
      </w:r>
      <w:r w:rsidR="005769C2">
        <w:rPr>
          <w:szCs w:val="22"/>
        </w:rPr>
      </w:r>
      <w:r w:rsidR="005769C2">
        <w:rPr>
          <w:szCs w:val="22"/>
        </w:rPr>
        <w:fldChar w:fldCharType="separate"/>
      </w:r>
      <w:r w:rsidR="005769C2">
        <w:rPr>
          <w:szCs w:val="22"/>
        </w:rPr>
        <w:t>[2]</w:t>
      </w:r>
      <w:r w:rsidR="005769C2">
        <w:rPr>
          <w:szCs w:val="22"/>
        </w:rPr>
        <w:fldChar w:fldCharType="end"/>
      </w:r>
      <w:r w:rsidR="005769C2">
        <w:rPr>
          <w:szCs w:val="22"/>
        </w:rPr>
        <w:t xml:space="preserve"> for consideration in NR</w:t>
      </w:r>
      <w:r w:rsidR="004503F9">
        <w:rPr>
          <w:szCs w:val="22"/>
        </w:rPr>
        <w:t>.</w:t>
      </w:r>
      <w:r w:rsidR="00397418">
        <w:rPr>
          <w:szCs w:val="22"/>
        </w:rPr>
        <w:t xml:space="preserve"> For short </w:t>
      </w:r>
      <w:proofErr w:type="spellStart"/>
      <w:r w:rsidR="00397418">
        <w:rPr>
          <w:szCs w:val="22"/>
        </w:rPr>
        <w:t>blocklengths</w:t>
      </w:r>
      <w:proofErr w:type="spellEnd"/>
      <w:r w:rsidR="00397418">
        <w:rPr>
          <w:szCs w:val="22"/>
        </w:rPr>
        <w:t xml:space="preserve"> and with enhancements, this technique can provide very good performance.</w:t>
      </w:r>
      <w:r w:rsidR="00643867">
        <w:rPr>
          <w:szCs w:val="22"/>
        </w:rPr>
        <w:t xml:space="preserve"> The rate compatibility of these codes and the corresponding enhancements are described.</w:t>
      </w:r>
    </w:p>
    <w:p w14:paraId="1A5B178B" w14:textId="33A2EF56" w:rsidR="002247F6" w:rsidRDefault="002247F6" w:rsidP="002247F6">
      <w:pPr>
        <w:pStyle w:val="Heading1"/>
      </w:pPr>
      <w:r>
        <w:t>Discussion</w:t>
      </w:r>
    </w:p>
    <w:p w14:paraId="66184B3D" w14:textId="073A85B6" w:rsidR="007839B4" w:rsidRDefault="007839B4" w:rsidP="007839B4">
      <w:pPr>
        <w:rPr>
          <w:lang w:val="en-GB"/>
        </w:rPr>
      </w:pPr>
      <w:r>
        <w:rPr>
          <w:lang w:val="en-GB"/>
        </w:rPr>
        <w:t xml:space="preserve">As described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_Ref447270902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tail-biting convolutional code support rate-compatibility and IR HARQ, and its performance can be improved by using the normally appended CRC as outer coder to perform list-Viterbi decoding. </w:t>
      </w:r>
    </w:p>
    <w:p w14:paraId="305AE8DB" w14:textId="3BEA4C36" w:rsidR="007839B4" w:rsidRDefault="007370F3" w:rsidP="007839B4">
      <w:pPr>
        <w:rPr>
          <w:lang w:val="en-GB"/>
        </w:rPr>
      </w:pPr>
      <w:r>
        <w:rPr>
          <w:lang w:val="en-GB"/>
        </w:rPr>
        <w:t>TBCC/CC could also</w:t>
      </w:r>
      <w:r w:rsidR="007839B4">
        <w:rPr>
          <w:lang w:val="en-GB"/>
        </w:rPr>
        <w:t xml:space="preserve"> support different block lengths by allowing longer convolutional code. While longer block lengths can </w:t>
      </w:r>
      <w:proofErr w:type="gramStart"/>
      <w:r w:rsidR="007839B4">
        <w:rPr>
          <w:lang w:val="en-GB"/>
        </w:rPr>
        <w:t>leads</w:t>
      </w:r>
      <w:proofErr w:type="gramEnd"/>
      <w:r w:rsidR="007839B4">
        <w:rPr>
          <w:lang w:val="en-GB"/>
        </w:rPr>
        <w:t xml:space="preserve"> to worse BLER</w:t>
      </w:r>
      <w:r>
        <w:rPr>
          <w:lang w:val="en-GB"/>
        </w:rPr>
        <w:t xml:space="preserve"> using conventional Viterbi algorithm</w:t>
      </w:r>
      <w:r w:rsidR="007839B4">
        <w:rPr>
          <w:lang w:val="en-GB"/>
        </w:rPr>
        <w:t>,</w:t>
      </w:r>
      <w:r>
        <w:rPr>
          <w:lang w:val="en-GB"/>
        </w:rPr>
        <w:t xml:space="preserve"> the potential improvement of using CRC attachment to enable list decoding needs to be evaluated.  </w:t>
      </w:r>
    </w:p>
    <w:p w14:paraId="37225A2D" w14:textId="0ACCFAFE" w:rsidR="00195EC8" w:rsidRDefault="00195EC8" w:rsidP="00195EC8">
      <w:pPr>
        <w:tabs>
          <w:tab w:val="left" w:pos="2160"/>
        </w:tabs>
        <w:rPr>
          <w:lang w:val="en-GB"/>
        </w:rPr>
      </w:pPr>
      <w:r>
        <w:rPr>
          <w:lang w:val="en-GB"/>
        </w:rPr>
        <w:t xml:space="preserve">Because of the sequential decoding nature of Viterbi algorithm, pipelining could be challenging, and thus the decoding latency should be taken into account. </w:t>
      </w:r>
      <w:r w:rsidR="005D3A12">
        <w:rPr>
          <w:lang w:val="en-GB"/>
        </w:rPr>
        <w:t xml:space="preserve">The different decoding algorithms for list decoding shown below are also discussed in </w:t>
      </w:r>
      <w:r w:rsidR="005D3A12">
        <w:rPr>
          <w:lang w:val="en-GB"/>
        </w:rPr>
        <w:fldChar w:fldCharType="begin"/>
      </w:r>
      <w:r w:rsidR="005D3A12">
        <w:rPr>
          <w:lang w:val="en-GB"/>
        </w:rPr>
        <w:instrText xml:space="preserve"> REF _Ref447270902 \r \h </w:instrText>
      </w:r>
      <w:r w:rsidR="005D3A12">
        <w:rPr>
          <w:lang w:val="en-GB"/>
        </w:rPr>
      </w:r>
      <w:r w:rsidR="005D3A12">
        <w:rPr>
          <w:lang w:val="en-GB"/>
        </w:rPr>
        <w:fldChar w:fldCharType="separate"/>
      </w:r>
      <w:r w:rsidR="005D3A12">
        <w:rPr>
          <w:lang w:val="en-GB"/>
        </w:rPr>
        <w:t>[3]</w:t>
      </w:r>
      <w:r w:rsidR="005D3A12">
        <w:rPr>
          <w:lang w:val="en-GB"/>
        </w:rPr>
        <w:fldChar w:fldCharType="end"/>
      </w:r>
      <w:r w:rsidR="005D3A12">
        <w:rPr>
          <w:lang w:val="en-GB"/>
        </w:rPr>
        <w:t>.</w:t>
      </w:r>
    </w:p>
    <w:p w14:paraId="08CF15F4" w14:textId="28150F53" w:rsidR="007370F3" w:rsidRDefault="00A16C8D" w:rsidP="007839B4">
      <w:pPr>
        <w:rPr>
          <w:lang w:val="en-GB"/>
        </w:rPr>
      </w:pPr>
      <w:r>
        <w:rPr>
          <w:lang w:val="en-GB"/>
        </w:rPr>
        <w:t>In the figures below, the performance of the convolutional code plus 16-bit CRC with different code-rate, block-size, and list-size combinations are provided. We can see that even at large block-size, the performance</w:t>
      </w:r>
      <w:r w:rsidR="00355BD7">
        <w:rPr>
          <w:lang w:val="en-GB"/>
        </w:rPr>
        <w:t xml:space="preserve"> of CC</w:t>
      </w:r>
      <w:r>
        <w:rPr>
          <w:lang w:val="en-GB"/>
        </w:rPr>
        <w:t xml:space="preserve"> can keep improving as the list size increases. </w:t>
      </w:r>
    </w:p>
    <w:p w14:paraId="3F0FFC1C" w14:textId="25BEED61" w:rsidR="007370F3" w:rsidRDefault="007370F3" w:rsidP="00114DC9">
      <w:pPr>
        <w:jc w:val="center"/>
        <w:rPr>
          <w:lang w:val="en-GB"/>
        </w:rPr>
      </w:pPr>
      <w:r w:rsidRPr="007370F3">
        <w:rPr>
          <w:noProof/>
        </w:rPr>
        <w:lastRenderedPageBreak/>
        <w:drawing>
          <wp:inline distT="0" distB="0" distL="0" distR="0" wp14:anchorId="3F71AFA6" wp14:editId="2039DF2F">
            <wp:extent cx="4284101" cy="22860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01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0F3">
        <w:rPr>
          <w:lang w:val="en-GB"/>
        </w:rPr>
        <w:t xml:space="preserve"> </w:t>
      </w:r>
      <w:r w:rsidRPr="007370F3">
        <w:rPr>
          <w:noProof/>
        </w:rPr>
        <w:drawing>
          <wp:inline distT="0" distB="0" distL="0" distR="0" wp14:anchorId="0BF9D3E1" wp14:editId="4FB3A353">
            <wp:extent cx="4284103" cy="228600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03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61367" w14:textId="77777777" w:rsidR="00114DC9" w:rsidRDefault="007370F3" w:rsidP="00114DC9">
      <w:pPr>
        <w:keepNext/>
        <w:jc w:val="center"/>
      </w:pPr>
      <w:r w:rsidRPr="007370F3">
        <w:rPr>
          <w:noProof/>
        </w:rPr>
        <w:drawing>
          <wp:inline distT="0" distB="0" distL="0" distR="0" wp14:anchorId="76D461DE" wp14:editId="7D322175">
            <wp:extent cx="4284101" cy="22860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01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B9DCE" w14:textId="7025B9D9" w:rsidR="00114DC9" w:rsidRDefault="00114DC9" w:rsidP="00114DC9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Performance examples for different rates and </w:t>
      </w:r>
      <w:proofErr w:type="spellStart"/>
      <w:r>
        <w:t>blocklengths</w:t>
      </w:r>
      <w:proofErr w:type="spellEnd"/>
    </w:p>
    <w:p w14:paraId="61D9808E" w14:textId="77777777" w:rsidR="00114DC9" w:rsidRPr="00114DC9" w:rsidRDefault="00114DC9" w:rsidP="00114DC9"/>
    <w:p w14:paraId="45382281" w14:textId="4498B76E" w:rsidR="00397418" w:rsidRDefault="00397418" w:rsidP="00397418">
      <w:pPr>
        <w:spacing w:after="120"/>
        <w:jc w:val="both"/>
        <w:rPr>
          <w:szCs w:val="22"/>
        </w:rPr>
      </w:pPr>
      <w:r w:rsidRPr="007F54CD">
        <w:rPr>
          <w:b/>
          <w:u w:val="single"/>
          <w:lang w:eastAsia="zh-CN"/>
        </w:rPr>
        <w:t xml:space="preserve">Proposal </w:t>
      </w:r>
      <w:r w:rsidR="00197892">
        <w:rPr>
          <w:b/>
          <w:u w:val="single"/>
          <w:lang w:eastAsia="zh-CN"/>
        </w:rPr>
        <w:t>1</w:t>
      </w:r>
      <w:r w:rsidRPr="007F54CD">
        <w:rPr>
          <w:b/>
          <w:u w:val="single"/>
          <w:lang w:eastAsia="zh-CN"/>
        </w:rPr>
        <w:t>:</w:t>
      </w:r>
      <w:r>
        <w:rPr>
          <w:lang w:eastAsia="zh-CN"/>
        </w:rPr>
        <w:t xml:space="preserve"> TBCC </w:t>
      </w:r>
      <w:proofErr w:type="spellStart"/>
      <w:r w:rsidR="00197892">
        <w:rPr>
          <w:lang w:eastAsia="zh-CN"/>
        </w:rPr>
        <w:t>blocklength</w:t>
      </w:r>
      <w:proofErr w:type="spellEnd"/>
      <w:r w:rsidR="00197892">
        <w:rPr>
          <w:lang w:eastAsia="zh-CN"/>
        </w:rPr>
        <w:t xml:space="preserve"> scaling can be implemented with longer input </w:t>
      </w:r>
      <w:proofErr w:type="spellStart"/>
      <w:r w:rsidR="00197892">
        <w:rPr>
          <w:lang w:eastAsia="zh-CN"/>
        </w:rPr>
        <w:t>blocklengths</w:t>
      </w:r>
      <w:proofErr w:type="spellEnd"/>
      <w:r>
        <w:rPr>
          <w:lang w:eastAsia="zh-CN"/>
        </w:rPr>
        <w:t xml:space="preserve"> similar to the specification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_Ref447261428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 w:rsidR="00197892">
        <w:rPr>
          <w:szCs w:val="22"/>
        </w:rPr>
        <w:t>, with additional consideration of CB-attachment per code block.</w:t>
      </w:r>
    </w:p>
    <w:p w14:paraId="12D9B66D" w14:textId="6B8F5EE8" w:rsidR="00397418" w:rsidRDefault="00197892" w:rsidP="004503F9">
      <w:pPr>
        <w:spacing w:after="120"/>
        <w:jc w:val="both"/>
        <w:rPr>
          <w:lang w:eastAsia="zh-CN"/>
        </w:rPr>
      </w:pPr>
      <w:r w:rsidRPr="007F54CD">
        <w:rPr>
          <w:b/>
          <w:u w:val="single"/>
          <w:lang w:eastAsia="zh-CN"/>
        </w:rPr>
        <w:t xml:space="preserve">Proposal </w:t>
      </w:r>
      <w:r>
        <w:rPr>
          <w:b/>
          <w:u w:val="single"/>
          <w:lang w:eastAsia="zh-CN"/>
        </w:rPr>
        <w:t>2</w:t>
      </w:r>
      <w:r w:rsidRPr="007F54CD">
        <w:rPr>
          <w:b/>
          <w:u w:val="single"/>
          <w:lang w:eastAsia="zh-CN"/>
        </w:rPr>
        <w:t>:</w:t>
      </w:r>
      <w:r>
        <w:rPr>
          <w:lang w:eastAsia="zh-CN"/>
        </w:rPr>
        <w:t xml:space="preserve"> TBCC </w:t>
      </w:r>
      <w:proofErr w:type="spellStart"/>
      <w:r>
        <w:rPr>
          <w:lang w:eastAsia="zh-CN"/>
        </w:rPr>
        <w:t>blocklengths</w:t>
      </w:r>
      <w:proofErr w:type="spellEnd"/>
      <w:r>
        <w:rPr>
          <w:lang w:eastAsia="zh-CN"/>
        </w:rPr>
        <w:t xml:space="preserve"> should be scaled such that low decoding latency and good performance can be achieved.</w:t>
      </w: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Conclusions</w:t>
      </w:r>
    </w:p>
    <w:p w14:paraId="4B635A5D" w14:textId="3E09C3E2" w:rsidR="00A841B3" w:rsidRDefault="00197892" w:rsidP="00397418">
      <w:pPr>
        <w:spacing w:after="120"/>
        <w:jc w:val="both"/>
        <w:rPr>
          <w:szCs w:val="22"/>
        </w:rPr>
      </w:pPr>
      <w:r w:rsidRPr="007F54CD">
        <w:rPr>
          <w:b/>
          <w:u w:val="single"/>
          <w:lang w:eastAsia="zh-CN"/>
        </w:rPr>
        <w:t xml:space="preserve">Proposal </w:t>
      </w:r>
      <w:r>
        <w:rPr>
          <w:b/>
          <w:u w:val="single"/>
          <w:lang w:eastAsia="zh-CN"/>
        </w:rPr>
        <w:t>1</w:t>
      </w:r>
      <w:r w:rsidRPr="007F54CD">
        <w:rPr>
          <w:b/>
          <w:u w:val="single"/>
          <w:lang w:eastAsia="zh-CN"/>
        </w:rPr>
        <w:t>:</w:t>
      </w:r>
      <w:r>
        <w:rPr>
          <w:lang w:eastAsia="zh-CN"/>
        </w:rPr>
        <w:t xml:space="preserve"> TBCC </w:t>
      </w:r>
      <w:proofErr w:type="spellStart"/>
      <w:r>
        <w:rPr>
          <w:lang w:eastAsia="zh-CN"/>
        </w:rPr>
        <w:t>blocklength</w:t>
      </w:r>
      <w:proofErr w:type="spellEnd"/>
      <w:r>
        <w:rPr>
          <w:lang w:eastAsia="zh-CN"/>
        </w:rPr>
        <w:t xml:space="preserve"> scaling can be implemented with longer input </w:t>
      </w:r>
      <w:proofErr w:type="spellStart"/>
      <w:r>
        <w:rPr>
          <w:lang w:eastAsia="zh-CN"/>
        </w:rPr>
        <w:t>blocklengths</w:t>
      </w:r>
      <w:proofErr w:type="spellEnd"/>
      <w:r>
        <w:rPr>
          <w:lang w:eastAsia="zh-CN"/>
        </w:rPr>
        <w:t xml:space="preserve"> similar to the specification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_Ref447261428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>, with additional consideration of CB-attachment per code block.</w:t>
      </w:r>
    </w:p>
    <w:p w14:paraId="17AC8760" w14:textId="138D3D94" w:rsidR="00197892" w:rsidRPr="00397418" w:rsidRDefault="00197892" w:rsidP="00397418">
      <w:pPr>
        <w:spacing w:after="120"/>
        <w:jc w:val="both"/>
        <w:rPr>
          <w:lang w:eastAsia="zh-CN"/>
        </w:rPr>
      </w:pPr>
      <w:r w:rsidRPr="007F54CD">
        <w:rPr>
          <w:b/>
          <w:u w:val="single"/>
          <w:lang w:eastAsia="zh-CN"/>
        </w:rPr>
        <w:t xml:space="preserve">Proposal </w:t>
      </w:r>
      <w:r>
        <w:rPr>
          <w:b/>
          <w:u w:val="single"/>
          <w:lang w:eastAsia="zh-CN"/>
        </w:rPr>
        <w:t>2</w:t>
      </w:r>
      <w:r w:rsidRPr="007F54CD">
        <w:rPr>
          <w:b/>
          <w:u w:val="single"/>
          <w:lang w:eastAsia="zh-CN"/>
        </w:rPr>
        <w:t>:</w:t>
      </w:r>
      <w:r>
        <w:rPr>
          <w:lang w:eastAsia="zh-CN"/>
        </w:rPr>
        <w:t xml:space="preserve"> TBCC </w:t>
      </w:r>
      <w:proofErr w:type="spellStart"/>
      <w:r>
        <w:rPr>
          <w:lang w:eastAsia="zh-CN"/>
        </w:rPr>
        <w:t>blocklengths</w:t>
      </w:r>
      <w:proofErr w:type="spellEnd"/>
      <w:r>
        <w:rPr>
          <w:lang w:eastAsia="zh-CN"/>
        </w:rPr>
        <w:t xml:space="preserve"> should be scaled such that low decoding latency and good performance can be achieved.</w:t>
      </w: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43B7F897" w14:textId="10E71DA4" w:rsidR="00643867" w:rsidRDefault="001A5308" w:rsidP="00643867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>
        <w:rPr>
          <w:szCs w:val="22"/>
        </w:rPr>
        <w:t xml:space="preserve">RP-160671, </w:t>
      </w:r>
      <w:r w:rsidR="007E5634">
        <w:rPr>
          <w:szCs w:val="22"/>
        </w:rPr>
        <w:t>New SID Proposal: Study on New Radio Access Technology</w:t>
      </w:r>
      <w:bookmarkEnd w:id="3"/>
    </w:p>
    <w:p w14:paraId="3F34A574" w14:textId="72650245" w:rsidR="00532C02" w:rsidRPr="005D3A12" w:rsidRDefault="005D3A12" w:rsidP="005D3A1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4" w:name="_Ref447261428"/>
      <w:r w:rsidRPr="0017038F">
        <w:rPr>
          <w:szCs w:val="18"/>
        </w:rPr>
        <w:t>3GPP TS 36.212</w:t>
      </w:r>
      <w:r>
        <w:rPr>
          <w:szCs w:val="18"/>
        </w:rPr>
        <w:t>, “</w:t>
      </w:r>
      <w:r w:rsidRPr="00C25585">
        <w:rPr>
          <w:szCs w:val="18"/>
        </w:rPr>
        <w:t>3rd Generation Partnership Project;</w:t>
      </w:r>
      <w:r>
        <w:rPr>
          <w:szCs w:val="18"/>
        </w:rPr>
        <w:t xml:space="preserve"> </w:t>
      </w:r>
      <w:r w:rsidRPr="00C25585">
        <w:rPr>
          <w:szCs w:val="18"/>
        </w:rPr>
        <w:t>Technical Specification Group Radio Access Network;</w:t>
      </w:r>
      <w:r>
        <w:rPr>
          <w:szCs w:val="18"/>
        </w:rPr>
        <w:t xml:space="preserve"> </w:t>
      </w:r>
      <w:r w:rsidRPr="00C25585">
        <w:rPr>
          <w:szCs w:val="18"/>
        </w:rPr>
        <w:t>Evolved Universal Terrestrial Radio Access (E-UTRA);</w:t>
      </w:r>
      <w:r>
        <w:rPr>
          <w:szCs w:val="18"/>
        </w:rPr>
        <w:t xml:space="preserve"> </w:t>
      </w:r>
      <w:r w:rsidRPr="00C25585">
        <w:rPr>
          <w:szCs w:val="18"/>
        </w:rPr>
        <w:t>Multiplexing and channel coding</w:t>
      </w:r>
      <w:r>
        <w:rPr>
          <w:szCs w:val="18"/>
        </w:rPr>
        <w:t>”.</w:t>
      </w:r>
      <w:bookmarkEnd w:id="4"/>
    </w:p>
    <w:p w14:paraId="04ED7205" w14:textId="14218A4E" w:rsidR="002D2A64" w:rsidRPr="00643867" w:rsidRDefault="00643867" w:rsidP="00643867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5" w:name="_Ref447270902"/>
      <w:r>
        <w:rPr>
          <w:szCs w:val="22"/>
        </w:rPr>
        <w:t>R1-162213, TBCC – HARQ, rate</w:t>
      </w:r>
      <w:bookmarkEnd w:id="5"/>
    </w:p>
    <w:sectPr w:rsidR="002D2A64" w:rsidRPr="00643867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75C76" w14:textId="77777777" w:rsidR="00683388" w:rsidRDefault="00683388">
      <w:r>
        <w:separator/>
      </w:r>
    </w:p>
  </w:endnote>
  <w:endnote w:type="continuationSeparator" w:id="0">
    <w:p w14:paraId="5B761708" w14:textId="77777777" w:rsidR="00683388" w:rsidRDefault="00683388">
      <w:r>
        <w:continuationSeparator/>
      </w:r>
    </w:p>
  </w:endnote>
  <w:endnote w:type="continuationNotice" w:id="1">
    <w:p w14:paraId="3108EAA8" w14:textId="77777777" w:rsidR="00683388" w:rsidRDefault="006833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864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8646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7BAA6" w14:textId="77777777" w:rsidR="00683388" w:rsidRDefault="00683388">
      <w:r>
        <w:separator/>
      </w:r>
    </w:p>
  </w:footnote>
  <w:footnote w:type="continuationSeparator" w:id="0">
    <w:p w14:paraId="79487DB6" w14:textId="77777777" w:rsidR="00683388" w:rsidRDefault="00683388">
      <w:r>
        <w:continuationSeparator/>
      </w:r>
    </w:p>
  </w:footnote>
  <w:footnote w:type="continuationNotice" w:id="1">
    <w:p w14:paraId="70CDF716" w14:textId="77777777" w:rsidR="00683388" w:rsidRDefault="0068338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79F5308"/>
    <w:multiLevelType w:val="hybridMultilevel"/>
    <w:tmpl w:val="C0122C20"/>
    <w:lvl w:ilvl="0" w:tplc="F984C6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61469"/>
    <w:multiLevelType w:val="hybridMultilevel"/>
    <w:tmpl w:val="C8982774"/>
    <w:lvl w:ilvl="0" w:tplc="981CE09E"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DC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28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4EB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468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73B"/>
    <w:rsid w:val="0019592C"/>
    <w:rsid w:val="00195EC8"/>
    <w:rsid w:val="00196085"/>
    <w:rsid w:val="00196B90"/>
    <w:rsid w:val="00196DE8"/>
    <w:rsid w:val="00196FF4"/>
    <w:rsid w:val="0019734F"/>
    <w:rsid w:val="00197892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7F6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D22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D7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418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02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9C2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B85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12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1E4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67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6CEC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388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0F3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9B4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6BF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6DC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42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60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6C8D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B3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404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0D49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HR33RHYHUWRF-13-109795</_dlc_DocId>
    <_dlc_DocIdUrl xmlns="c06861ca-3f08-4d07-bff7-bb15bac121f4">
      <Url>https://projects.qualcomm.com/sites/pentari/_layouts/15/DocIdRedir.aspx?ID=HR33RHYHUWRF-13-109795</Url>
      <Description>HR33RHYHUWRF-13-109795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00F8DD-CC27-401C-B010-FC72075A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4E277D-865C-4585-9F4A-6BE141F9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82</cp:revision>
  <cp:lastPrinted>2014-11-07T05:38:00Z</cp:lastPrinted>
  <dcterms:created xsi:type="dcterms:W3CDTF">2016-03-22T15:19:00Z</dcterms:created>
  <dcterms:modified xsi:type="dcterms:W3CDTF">2016-04-02T05:28:00Z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0x010100E148108D9109C944B70D5C8707C65226</vt:lpwstr>
  </property>
  <property fmtid="{D5CDD505-2E9C-101B-9397-08002B2CF9AE}" pid="10" name="_dlc_DocIdItemGuid">
    <vt:lpwstr>52910765-ea99-468e-b479-5d0889572446</vt:lpwstr>
  </property>
</Properties>
</file>